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F8DA" w14:textId="77777777"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14:paraId="6522DDB3" w14:textId="77777777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14:paraId="1020A4C1" w14:textId="77777777"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4F5D469F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14:paraId="486B18AE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14:paraId="4F9E99A9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14:paraId="1279C90E" w14:textId="77777777" w:rsidR="001C2F8B" w:rsidRPr="00541A82" w:rsidRDefault="009C152C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14:paraId="61140E29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059FFE0A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14:paraId="65E16939" w14:textId="77777777"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38E9444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14:paraId="5FDA9F09" w14:textId="77777777" w:rsidR="001C2F8B" w:rsidRPr="00541A82" w:rsidRDefault="00460845" w:rsidP="00E0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08/01/2014</w:t>
            </w:r>
          </w:p>
        </w:tc>
      </w:tr>
      <w:tr w:rsidR="001C2F8B" w:rsidRPr="00541A82" w14:paraId="10D541E6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59701854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14:paraId="3C623BC3" w14:textId="77777777" w:rsidR="001C2F8B" w:rsidRPr="00541A82" w:rsidRDefault="00460845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F9B7B3D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14:paraId="2AD38D02" w14:textId="77777777"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14:paraId="222DD605" w14:textId="77777777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604DC28F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14:paraId="6F9C5D2D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14:paraId="6C726B4A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785123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CD84F4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14:paraId="7C8AF03D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92F45D3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14:paraId="011E0BD8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969EA0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50140D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78B91E21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70C5CED3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224C0D3B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14:paraId="301DE591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F702C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6F2651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14:paraId="05FCB3FC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9188E3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14:paraId="7AA4CF1D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3D4B19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6E7BB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14:paraId="1FAA981A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E99EDFE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1E0D5E77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14:paraId="6ACA1252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A44FE6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99FE9F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652DB7AB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5EBF9E8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14:paraId="3397E1CA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DF0A80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A2CCC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14:paraId="64BDCBE3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043A492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78EA5E32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14:paraId="0F83B82D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EDC484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98A1CB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14:paraId="4B3D4F25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120C25" w14:textId="77777777" w:rsidR="003A389C" w:rsidRPr="00541A82" w:rsidRDefault="00B920F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14:paraId="788D343B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68A8C7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1FC31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5C19AF92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07162DB" w14:textId="77777777" w:rsidR="003A389C" w:rsidRPr="00541A82" w:rsidRDefault="00A7411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14:paraId="4E7E7DBD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14:paraId="77B8D993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2CA0EB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2641D9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097FE201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0DEEBF" w14:textId="77777777" w:rsidR="00063876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246B26" w:rsidRPr="00541A82" w14:paraId="1CE2A904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8CD992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839B1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14:paraId="3E7AAD22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0350D16A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14:paraId="08375E7C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14:paraId="174334A1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A9846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09363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14:paraId="0846BB0A" w14:textId="77777777"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C822B1A" w14:textId="77777777" w:rsidR="00BD5619" w:rsidRPr="00541A82" w:rsidRDefault="004C48B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48BC4E53" w14:textId="77777777"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14:paraId="7B15A3BC" w14:textId="77777777" w:rsidR="00BD5619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14:paraId="0C6CBDF0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14:paraId="53F18FC6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14:paraId="6A852F83" w14:textId="77777777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305FD6" w14:textId="77777777"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D975B4" w14:textId="77777777"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14:paraId="127CAC7A" w14:textId="77777777"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75257565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915950F" w14:textId="77777777" w:rsidR="00063876" w:rsidRPr="00541A82" w:rsidRDefault="004C48B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246B26" w:rsidRPr="00541A82" w14:paraId="0EA3B8D2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04338C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="009E6ACF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3A4632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</w:t>
                  </w:r>
                  <w:proofErr w:type="gram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,-</w:t>
                  </w:r>
                  <w:proofErr w:type="gram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Ann</w:t>
                  </w:r>
                </w:p>
              </w:tc>
            </w:tr>
          </w:tbl>
          <w:p w14:paraId="39F5FCCC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2CEFF3E7" w14:textId="77777777" w:rsidR="00063876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14:paraId="02CD6CE7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14:paraId="36F31329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BF4B92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C30066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14:paraId="2632D806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79626A4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9E6ACF" w:rsidRPr="00541A82" w14:paraId="42D68CA8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55077E" w14:textId="77777777" w:rsidR="009E6ACF" w:rsidRPr="00541A82" w:rsidRDefault="009E6ACF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0D432B" w14:textId="77777777" w:rsidR="009E6ACF" w:rsidRPr="00541A82" w:rsidRDefault="009E6ACF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3BDEE02C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704ADB56" w14:textId="77777777" w:rsidR="00063876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14:paraId="689EDD02" w14:textId="77777777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14:paraId="1DD79ABC" w14:textId="77777777" w:rsidR="00063876" w:rsidRPr="00541A82" w:rsidRDefault="009F1331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Nan Harrell</w:t>
            </w:r>
          </w:p>
        </w:tc>
        <w:tc>
          <w:tcPr>
            <w:tcW w:w="442" w:type="pct"/>
            <w:vAlign w:val="center"/>
          </w:tcPr>
          <w:p w14:paraId="7357D658" w14:textId="77777777" w:rsidR="00063876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0BC6D9B8" w14:textId="77777777" w:rsidR="00063876" w:rsidRPr="00541A82" w:rsidRDefault="009F1331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Michelle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</w:t>
            </w:r>
            <w:proofErr w:type="spellEnd"/>
          </w:p>
        </w:tc>
        <w:tc>
          <w:tcPr>
            <w:tcW w:w="229" w:type="pct"/>
            <w:vAlign w:val="center"/>
          </w:tcPr>
          <w:p w14:paraId="669B231C" w14:textId="77777777" w:rsidR="00063876" w:rsidRPr="00541A82" w:rsidRDefault="009F133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</w:tbl>
    <w:p w14:paraId="31918EE3" w14:textId="77777777" w:rsidR="00B03058" w:rsidRPr="00541A82" w:rsidRDefault="00B03058" w:rsidP="009E6ACF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23694A" w14:textId="77777777" w:rsidR="007335D8" w:rsidRPr="00541A82" w:rsidRDefault="007335D8" w:rsidP="002D26F0">
      <w:pPr>
        <w:pStyle w:val="FieldText"/>
        <w:spacing w:before="0" w:after="0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18B1905" w14:textId="77777777"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04BA631" w14:textId="77777777"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</w:p>
    <w:p w14:paraId="41336351" w14:textId="77777777" w:rsidR="00E0659D" w:rsidRPr="00541A82" w:rsidRDefault="00E0659D" w:rsidP="00E065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 xml:space="preserve">Review </w:t>
      </w:r>
      <w:r w:rsidR="00541A82" w:rsidRPr="00541A82">
        <w:rPr>
          <w:rFonts w:asciiTheme="minorHAnsi" w:hAnsiTheme="minorHAnsi"/>
          <w:color w:val="000000"/>
          <w:sz w:val="22"/>
          <w:szCs w:val="22"/>
        </w:rPr>
        <w:t xml:space="preserve">next steps and timeline approval of </w:t>
      </w:r>
      <w:r w:rsidR="00B920F3" w:rsidRPr="00541A82">
        <w:rPr>
          <w:rFonts w:asciiTheme="minorHAnsi" w:hAnsiTheme="minorHAnsi"/>
          <w:color w:val="000000"/>
          <w:sz w:val="22"/>
          <w:szCs w:val="22"/>
        </w:rPr>
        <w:t>ACP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 SSA Profile Test Case Document. </w:t>
      </w:r>
    </w:p>
    <w:p w14:paraId="6B75F922" w14:textId="77777777" w:rsidR="00541A82" w:rsidRPr="00541A82" w:rsidRDefault="00541A82" w:rsidP="00E065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General Q&amp;A from Group</w:t>
      </w:r>
      <w:r>
        <w:rPr>
          <w:rFonts w:asciiTheme="minorHAnsi" w:hAnsiTheme="minorHAnsi"/>
          <w:color w:val="000000"/>
          <w:sz w:val="22"/>
          <w:szCs w:val="22"/>
        </w:rPr>
        <w:t xml:space="preserve"> and discussion of Policy and Technical Task Group involvement</w:t>
      </w:r>
    </w:p>
    <w:p w14:paraId="27E37DF8" w14:textId="77777777" w:rsidR="00541A82" w:rsidRPr="005E3C4C" w:rsidRDefault="00E0659D" w:rsidP="005E3C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 xml:space="preserve">Review Submitted Comments with ACP </w:t>
      </w:r>
      <w:proofErr w:type="spellStart"/>
      <w:r w:rsidRPr="00541A82">
        <w:rPr>
          <w:rFonts w:asciiTheme="minorHAnsi" w:hAnsiTheme="minorHAnsi"/>
          <w:color w:val="000000"/>
          <w:sz w:val="22"/>
          <w:szCs w:val="22"/>
        </w:rPr>
        <w:t>WorkGroup</w:t>
      </w:r>
      <w:proofErr w:type="spellEnd"/>
    </w:p>
    <w:p w14:paraId="5D646D3B" w14:textId="77777777" w:rsidR="005B274F" w:rsidRPr="00541A82" w:rsidRDefault="00B920F3" w:rsidP="001044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/>
          <w:sz w:val="22"/>
          <w:szCs w:val="22"/>
        </w:rPr>
        <w:t xml:space="preserve"> </w:t>
      </w:r>
      <w:r w:rsidR="002049EC" w:rsidRPr="00541A82">
        <w:rPr>
          <w:rFonts w:asciiTheme="minorHAnsi" w:hAnsiTheme="minorHAnsi" w:cstheme="minorHAnsi"/>
          <w:sz w:val="22"/>
          <w:szCs w:val="22"/>
        </w:rPr>
        <w:t>Action Items/Timeline reviewed</w:t>
      </w:r>
    </w:p>
    <w:p w14:paraId="70BF5DFA" w14:textId="11B0AA0E" w:rsidR="005A7E6D" w:rsidRPr="00541A82" w:rsidRDefault="005E3C4C" w:rsidP="005A7E6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8/4/2014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 - Healtheway Staff and Co-chairs will incorporate edits/comments into </w:t>
      </w:r>
      <w:r w:rsidR="005A7E6D" w:rsidRPr="005E3C4C">
        <w:rPr>
          <w:rFonts w:asciiTheme="minorHAnsi" w:hAnsiTheme="minorHAnsi"/>
          <w:color w:val="000000"/>
          <w:sz w:val="22"/>
          <w:szCs w:val="22"/>
        </w:rPr>
        <w:t xml:space="preserve">ACP </w:t>
      </w:r>
      <w:r w:rsidRPr="005E3C4C">
        <w:rPr>
          <w:rFonts w:asciiTheme="minorHAnsi" w:hAnsiTheme="minorHAnsi"/>
          <w:color w:val="000000"/>
          <w:sz w:val="22"/>
          <w:szCs w:val="22"/>
        </w:rPr>
        <w:t>refactored artifacts and will post to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 Wiki site</w:t>
      </w:r>
      <w:r w:rsidR="00E84A23">
        <w:rPr>
          <w:rFonts w:asciiTheme="minorHAnsi" w:hAnsiTheme="minorHAnsi"/>
          <w:color w:val="000000"/>
          <w:sz w:val="22"/>
          <w:szCs w:val="22"/>
        </w:rPr>
        <w:t xml:space="preserve"> prior to 8/8/2014 meeting next week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78852F16" w14:textId="527A4E40" w:rsidR="00AE1F91" w:rsidRPr="00541A82" w:rsidRDefault="009F1331" w:rsidP="00E5511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These artifacts </w:t>
      </w:r>
      <w:r w:rsidR="00AE1F91" w:rsidRPr="00541A82">
        <w:rPr>
          <w:rFonts w:asciiTheme="minorHAnsi" w:hAnsiTheme="minorHAnsi"/>
          <w:color w:val="000000"/>
          <w:sz w:val="22"/>
          <w:szCs w:val="22"/>
        </w:rPr>
        <w:t>will be redistributed to all along with a summary of all comments received to workgrou</w:t>
      </w:r>
      <w:r w:rsidR="00E84A23">
        <w:rPr>
          <w:rFonts w:asciiTheme="minorHAnsi" w:hAnsiTheme="minorHAnsi"/>
          <w:color w:val="000000"/>
          <w:sz w:val="22"/>
          <w:szCs w:val="22"/>
        </w:rPr>
        <w:t>p</w:t>
      </w:r>
      <w:r w:rsidR="00AE1F91" w:rsidRPr="00541A82">
        <w:rPr>
          <w:rFonts w:asciiTheme="minorHAnsi" w:hAnsiTheme="minorHAnsi"/>
          <w:color w:val="000000"/>
          <w:sz w:val="22"/>
          <w:szCs w:val="22"/>
        </w:rPr>
        <w:t>.</w:t>
      </w:r>
      <w:r w:rsidR="00E55114" w:rsidRPr="00541A8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Healtheway staff will perform outreach on comment resolution form to all comments to verify comments have been addressed to their satisfaction.  </w:t>
      </w:r>
      <w:r w:rsidR="00E55114" w:rsidRPr="00541A82">
        <w:rPr>
          <w:rFonts w:asciiTheme="minorHAnsi" w:hAnsiTheme="minorHAnsi"/>
          <w:color w:val="000000"/>
          <w:sz w:val="22"/>
          <w:szCs w:val="22"/>
        </w:rPr>
        <w:t xml:space="preserve">Please send comments on the documents to </w:t>
      </w:r>
      <w:hyperlink r:id="rId9" w:history="1">
        <w:r w:rsidR="00E55114" w:rsidRPr="00541A82">
          <w:rPr>
            <w:rStyle w:val="Hyperlink"/>
            <w:rFonts w:asciiTheme="minorHAnsi" w:hAnsiTheme="minorHAnsi"/>
            <w:sz w:val="22"/>
            <w:szCs w:val="22"/>
          </w:rPr>
          <w:t>testing@healthewayinc.org</w:t>
        </w:r>
      </w:hyperlink>
    </w:p>
    <w:p w14:paraId="286C5528" w14:textId="77777777" w:rsidR="002049EC" w:rsidRPr="00541A82" w:rsidRDefault="009F1331" w:rsidP="000B48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08/08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/2014 - Workgroup should have reviewed comments to verify they were properly addressed and come prepared to vote approval of test case artifacts on </w:t>
      </w:r>
      <w:r w:rsidR="00CC0F16" w:rsidRPr="00541A82">
        <w:rPr>
          <w:rFonts w:asciiTheme="minorHAnsi" w:hAnsiTheme="minorHAnsi"/>
          <w:b/>
          <w:bCs/>
          <w:color w:val="000000"/>
          <w:sz w:val="22"/>
          <w:szCs w:val="22"/>
        </w:rPr>
        <w:t xml:space="preserve">August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8th</w:t>
      </w:r>
      <w:r w:rsidR="005A7E6D" w:rsidRPr="00541A82">
        <w:rPr>
          <w:rFonts w:asciiTheme="minorHAnsi" w:hAnsiTheme="minorHAnsi"/>
          <w:b/>
          <w:bCs/>
          <w:color w:val="000000"/>
          <w:sz w:val="22"/>
          <w:szCs w:val="22"/>
        </w:rPr>
        <w:t>, 2014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>.</w:t>
      </w:r>
      <w:r w:rsidR="00CC0F16" w:rsidRPr="00541A82">
        <w:rPr>
          <w:rFonts w:asciiTheme="minorHAnsi" w:hAnsiTheme="minorHAnsi"/>
          <w:color w:val="000000"/>
          <w:sz w:val="22"/>
          <w:szCs w:val="22"/>
        </w:rPr>
        <w:t xml:space="preserve"> If not able to participate on August </w:t>
      </w:r>
      <w:r>
        <w:rPr>
          <w:rFonts w:asciiTheme="minorHAnsi" w:hAnsiTheme="minorHAnsi"/>
          <w:color w:val="000000"/>
          <w:sz w:val="22"/>
          <w:szCs w:val="22"/>
        </w:rPr>
        <w:t>8th</w:t>
      </w:r>
      <w:r w:rsidR="00CC0F16" w:rsidRPr="00541A82">
        <w:rPr>
          <w:rFonts w:asciiTheme="minorHAnsi" w:hAnsiTheme="minorHAnsi"/>
          <w:color w:val="000000"/>
          <w:sz w:val="22"/>
          <w:szCs w:val="22"/>
        </w:rPr>
        <w:t xml:space="preserve"> meeting. Please submit your vote (</w:t>
      </w:r>
      <w:r w:rsidR="00CC0F16" w:rsidRPr="00541A82">
        <w:rPr>
          <w:rFonts w:asciiTheme="minorHAnsi" w:hAnsiTheme="minorHAnsi"/>
          <w:b/>
          <w:color w:val="000000"/>
          <w:sz w:val="22"/>
          <w:szCs w:val="22"/>
        </w:rPr>
        <w:t>Yes/No/Abstain)</w:t>
      </w:r>
      <w:r w:rsidR="00CC0F16" w:rsidRPr="00541A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CC0F16" w:rsidRPr="00541A82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="00E84A23">
        <w:fldChar w:fldCharType="begin"/>
      </w:r>
      <w:r w:rsidR="00E84A23">
        <w:instrText xml:space="preserve"> HYPERLINK "mailto:testing@healthewayinc.org" </w:instrText>
      </w:r>
      <w:r w:rsidR="00E84A23">
        <w:fldChar w:fldCharType="separate"/>
      </w:r>
      <w:r w:rsidR="00CC0F16" w:rsidRPr="00541A82">
        <w:rPr>
          <w:rStyle w:val="Hyperlink"/>
          <w:rFonts w:asciiTheme="minorHAnsi" w:hAnsiTheme="minorHAnsi"/>
          <w:sz w:val="22"/>
          <w:szCs w:val="22"/>
        </w:rPr>
        <w:t>testing@healthewayinc.org</w:t>
      </w:r>
      <w:r w:rsidR="00E84A23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CC0F16" w:rsidRPr="00541A82"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p w14:paraId="5F0BA43D" w14:textId="07C86174" w:rsidR="000E0E97" w:rsidRPr="00541A82" w:rsidRDefault="00D76622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41A82">
        <w:rPr>
          <w:rFonts w:asciiTheme="minorHAnsi" w:hAnsiTheme="minorHAnsi" w:cstheme="minorHAnsi"/>
        </w:rPr>
        <w:t xml:space="preserve">Test Tool Development Begins </w:t>
      </w:r>
      <w:r w:rsidR="009C152C" w:rsidRPr="00541A82">
        <w:rPr>
          <w:rFonts w:asciiTheme="minorHAnsi" w:hAnsiTheme="minorHAnsi" w:cstheme="minorHAnsi"/>
        </w:rPr>
        <w:t xml:space="preserve"> - </w:t>
      </w:r>
      <w:r w:rsidR="00E84A23">
        <w:rPr>
          <w:rFonts w:asciiTheme="minorHAnsi" w:hAnsiTheme="minorHAnsi" w:cstheme="minorHAnsi"/>
        </w:rPr>
        <w:t>8/11</w:t>
      </w:r>
      <w:r w:rsidR="00B12F25" w:rsidRPr="00541A82">
        <w:rPr>
          <w:rFonts w:asciiTheme="minorHAnsi" w:hAnsiTheme="minorHAnsi" w:cstheme="minorHAnsi"/>
        </w:rPr>
        <w:t>/2014</w:t>
      </w:r>
    </w:p>
    <w:p w14:paraId="5CA8A7A7" w14:textId="77777777" w:rsidR="006F1B35" w:rsidRDefault="000E0E97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41A82">
        <w:rPr>
          <w:rFonts w:asciiTheme="minorHAnsi" w:hAnsiTheme="minorHAnsi" w:cstheme="minorHAnsi"/>
        </w:rPr>
        <w:t>Actual Pilot</w:t>
      </w:r>
      <w:r w:rsidR="00B12F25" w:rsidRPr="00541A82">
        <w:rPr>
          <w:rFonts w:asciiTheme="minorHAnsi" w:hAnsiTheme="minorHAnsi" w:cstheme="minorHAnsi"/>
        </w:rPr>
        <w:t xml:space="preserve"> - 8/2014-9/2014</w:t>
      </w:r>
    </w:p>
    <w:p w14:paraId="4D34964C" w14:textId="77777777" w:rsidR="00541A82" w:rsidRDefault="00541A82" w:rsidP="00541A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Recordings:</w:t>
      </w:r>
    </w:p>
    <w:p w14:paraId="5444A269" w14:textId="6BB7CAE9" w:rsidR="004B3FB2" w:rsidRPr="00763256" w:rsidRDefault="00763256" w:rsidP="007632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hyperlink r:id="rId10" w:history="1">
        <w:r w:rsidRPr="00763256">
          <w:rPr>
            <w:rStyle w:val="Hyperlink"/>
            <w:rFonts w:asciiTheme="minorHAnsi" w:hAnsiTheme="minorHAnsi" w:cstheme="minorHAnsi"/>
          </w:rPr>
          <w:t>2014_08_01 APC WG External Meeting Audio Recording</w:t>
        </w:r>
      </w:hyperlink>
    </w:p>
    <w:p w14:paraId="681786D6" w14:textId="77777777" w:rsidR="00541A82" w:rsidRDefault="00541A82" w:rsidP="00541A82">
      <w:pPr>
        <w:rPr>
          <w:rFonts w:asciiTheme="minorHAnsi" w:hAnsiTheme="minorHAnsi" w:cstheme="minorHAnsi"/>
        </w:rPr>
      </w:pPr>
    </w:p>
    <w:p w14:paraId="699CA0C6" w14:textId="77777777" w:rsidR="00541A82" w:rsidRDefault="00541A82" w:rsidP="00541A82">
      <w:pPr>
        <w:rPr>
          <w:rFonts w:asciiTheme="minorHAnsi" w:hAnsiTheme="minorHAnsi" w:cstheme="minorHAnsi"/>
        </w:rPr>
      </w:pPr>
    </w:p>
    <w:p w14:paraId="38D0AE63" w14:textId="77777777" w:rsidR="00541A82" w:rsidRPr="00541A82" w:rsidRDefault="00541A82" w:rsidP="00541A82">
      <w:pPr>
        <w:rPr>
          <w:rFonts w:asciiTheme="minorHAnsi" w:hAnsiTheme="minorHAnsi" w:cstheme="minorHAnsi"/>
        </w:rPr>
      </w:pPr>
    </w:p>
    <w:p w14:paraId="38BED95E" w14:textId="77777777" w:rsidR="006F1B35" w:rsidRPr="00541A82" w:rsidRDefault="006F1B35" w:rsidP="00BD720E">
      <w:pPr>
        <w:rPr>
          <w:rFonts w:asciiTheme="minorHAnsi" w:hAnsiTheme="minorHAnsi"/>
          <w:sz w:val="22"/>
          <w:szCs w:val="22"/>
        </w:rPr>
      </w:pPr>
    </w:p>
    <w:p w14:paraId="0CA5B6FB" w14:textId="77777777"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14:paraId="4C6967C4" w14:textId="77777777" w:rsidR="00DD4A56" w:rsidRPr="00541A82" w:rsidRDefault="00DD4A56" w:rsidP="002D26F0">
      <w:pPr>
        <w:rPr>
          <w:rFonts w:asciiTheme="minorHAnsi" w:hAnsiTheme="minorHAnsi" w:cstheme="minorHAnsi"/>
          <w:bCs/>
          <w:sz w:val="22"/>
          <w:szCs w:val="22"/>
        </w:rPr>
      </w:pPr>
    </w:p>
    <w:p w14:paraId="02BEA6F8" w14:textId="77777777"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7"/>
        <w:gridCol w:w="1843"/>
        <w:gridCol w:w="1167"/>
        <w:gridCol w:w="2174"/>
        <w:gridCol w:w="1186"/>
      </w:tblGrid>
      <w:tr w:rsidR="003523B0" w:rsidRPr="00541A82" w14:paraId="12F8A5AB" w14:textId="77777777" w:rsidTr="001643D8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718269F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248E9A40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C056BB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26CBF05E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78D114F8" w14:textId="77777777"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081E7199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14:paraId="3DB72E11" w14:textId="77777777" w:rsidTr="001643D8">
        <w:tc>
          <w:tcPr>
            <w:tcW w:w="481" w:type="dxa"/>
          </w:tcPr>
          <w:p w14:paraId="67F8559A" w14:textId="77777777"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07" w:type="dxa"/>
          </w:tcPr>
          <w:p w14:paraId="3CF8F5E6" w14:textId="77777777"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843" w:type="dxa"/>
          </w:tcPr>
          <w:p w14:paraId="35FE432F" w14:textId="77777777"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7664389D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174" w:type="dxa"/>
          </w:tcPr>
          <w:p w14:paraId="7DDCD75E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14:paraId="1C3F2690" w14:textId="77777777" w:rsidR="0013431F" w:rsidRPr="00541A82" w:rsidRDefault="0013431F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E6D" w:rsidRPr="00541A82" w14:paraId="28852810" w14:textId="77777777" w:rsidTr="001643D8">
        <w:tc>
          <w:tcPr>
            <w:tcW w:w="481" w:type="dxa"/>
          </w:tcPr>
          <w:p w14:paraId="376F0E27" w14:textId="77777777"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07" w:type="dxa"/>
          </w:tcPr>
          <w:p w14:paraId="3A7ECF0D" w14:textId="77777777"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843" w:type="dxa"/>
          </w:tcPr>
          <w:p w14:paraId="2DD9FA3E" w14:textId="77777777"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ACP Chairs </w:t>
            </w:r>
            <w:proofErr w:type="gramStart"/>
            <w:r w:rsidRPr="00541A82">
              <w:rPr>
                <w:rFonts w:asciiTheme="minorHAnsi" w:hAnsiTheme="minorHAnsi"/>
                <w:sz w:val="20"/>
              </w:rPr>
              <w:t>and  Healtheway</w:t>
            </w:r>
            <w:proofErr w:type="gramEnd"/>
            <w:r w:rsidRPr="00541A82"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14:paraId="1E61F22B" w14:textId="77777777"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2174" w:type="dxa"/>
          </w:tcPr>
          <w:p w14:paraId="2E9426B3" w14:textId="279EFEFF"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14:paraId="049D7B05" w14:textId="77777777" w:rsidR="005A7E6D" w:rsidRPr="00541A82" w:rsidRDefault="005A7E6D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43D8" w:rsidRPr="00541A82" w14:paraId="7EA825A2" w14:textId="77777777" w:rsidTr="001643D8">
        <w:tc>
          <w:tcPr>
            <w:tcW w:w="481" w:type="dxa"/>
          </w:tcPr>
          <w:p w14:paraId="175EBEF6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07" w:type="dxa"/>
          </w:tcPr>
          <w:p w14:paraId="28D0B258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843" w:type="dxa"/>
          </w:tcPr>
          <w:p w14:paraId="69569EAD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ACP Chairs </w:t>
            </w:r>
            <w:proofErr w:type="gramStart"/>
            <w:r w:rsidRPr="00541A82">
              <w:rPr>
                <w:rFonts w:asciiTheme="minorHAnsi" w:hAnsiTheme="minorHAnsi"/>
                <w:sz w:val="20"/>
              </w:rPr>
              <w:t>and  Healtheway</w:t>
            </w:r>
            <w:proofErr w:type="gramEnd"/>
            <w:r w:rsidRPr="00541A82"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14:paraId="3B124257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2174" w:type="dxa"/>
          </w:tcPr>
          <w:p w14:paraId="4687E83C" w14:textId="2C8A0CFB"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14:paraId="66E51D76" w14:textId="77777777" w:rsidR="001643D8" w:rsidRPr="00541A82" w:rsidRDefault="001643D8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43D8" w:rsidRPr="00541A82" w14:paraId="70FA29CC" w14:textId="77777777" w:rsidTr="001643D8">
        <w:tc>
          <w:tcPr>
            <w:tcW w:w="481" w:type="dxa"/>
          </w:tcPr>
          <w:p w14:paraId="13B8BC07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07" w:type="dxa"/>
          </w:tcPr>
          <w:p w14:paraId="31121BE8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1EC55213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12EA5EA0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2174" w:type="dxa"/>
          </w:tcPr>
          <w:p w14:paraId="443CCAAF" w14:textId="4DFF44DF"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14:paraId="6B387C01" w14:textId="77777777" w:rsidR="001643D8" w:rsidRPr="00541A82" w:rsidRDefault="001643D8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E6D" w:rsidRPr="00541A82" w14:paraId="45F6CD83" w14:textId="77777777" w:rsidTr="001643D8">
        <w:tc>
          <w:tcPr>
            <w:tcW w:w="481" w:type="dxa"/>
          </w:tcPr>
          <w:p w14:paraId="482265A1" w14:textId="77777777" w:rsidR="005A7E6D" w:rsidRPr="00541A82" w:rsidRDefault="00D76622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07" w:type="dxa"/>
          </w:tcPr>
          <w:p w14:paraId="6AA1A854" w14:textId="77777777" w:rsidR="005A7E6D" w:rsidRPr="00541A82" w:rsidRDefault="00D76622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843" w:type="dxa"/>
          </w:tcPr>
          <w:p w14:paraId="56C38C5C" w14:textId="77777777" w:rsidR="005A7E6D" w:rsidRPr="00541A82" w:rsidRDefault="00D76622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26EC8A34" w14:textId="77777777" w:rsidR="005A7E6D" w:rsidRPr="00541A82" w:rsidRDefault="00D76622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2174" w:type="dxa"/>
          </w:tcPr>
          <w:p w14:paraId="5B7EAC21" w14:textId="4AFBEF1B" w:rsidR="005A7E6D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8/08</w:t>
            </w:r>
            <w:r w:rsidR="00D76622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14:paraId="259E5385" w14:textId="77777777" w:rsidR="005A7E6D" w:rsidRPr="00541A82" w:rsidRDefault="005A7E6D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36FD46" w14:textId="77777777"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14:paraId="609F225F" w14:textId="77777777"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D937" w14:textId="77777777" w:rsidR="004E5574" w:rsidRDefault="004E5574" w:rsidP="00D37BED">
      <w:r>
        <w:separator/>
      </w:r>
    </w:p>
  </w:endnote>
  <w:endnote w:type="continuationSeparator" w:id="0">
    <w:p w14:paraId="1DE739C0" w14:textId="77777777" w:rsidR="004E5574" w:rsidRDefault="004E5574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6EBC" w14:textId="77777777" w:rsidR="004E5574" w:rsidRDefault="004E5574">
    <w:pPr>
      <w:pStyle w:val="Footer"/>
    </w:pPr>
  </w:p>
  <w:p w14:paraId="0A78F120" w14:textId="77777777" w:rsidR="004E5574" w:rsidRDefault="004E5574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6325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67C57" w14:textId="77777777" w:rsidR="004E5574" w:rsidRDefault="004E5574" w:rsidP="00D37BED">
      <w:r>
        <w:separator/>
      </w:r>
    </w:p>
  </w:footnote>
  <w:footnote w:type="continuationSeparator" w:id="0">
    <w:p w14:paraId="346D640C" w14:textId="77777777" w:rsidR="004E5574" w:rsidRDefault="004E5574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FCAD" w14:textId="77777777" w:rsidR="004E5574" w:rsidRPr="00BD716E" w:rsidRDefault="004E5574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90D1A"/>
    <w:rsid w:val="002D0867"/>
    <w:rsid w:val="002D26F0"/>
    <w:rsid w:val="002D5E39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C34E7"/>
    <w:rsid w:val="003C475D"/>
    <w:rsid w:val="003C5810"/>
    <w:rsid w:val="003D1643"/>
    <w:rsid w:val="003D63F9"/>
    <w:rsid w:val="003E03BC"/>
    <w:rsid w:val="003E4A55"/>
    <w:rsid w:val="0042113B"/>
    <w:rsid w:val="00435762"/>
    <w:rsid w:val="00443011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D69"/>
    <w:rsid w:val="004E5574"/>
    <w:rsid w:val="00503917"/>
    <w:rsid w:val="00541A82"/>
    <w:rsid w:val="00553082"/>
    <w:rsid w:val="005532CA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3554"/>
    <w:rsid w:val="00673A76"/>
    <w:rsid w:val="00675F8B"/>
    <w:rsid w:val="00685287"/>
    <w:rsid w:val="00693FBB"/>
    <w:rsid w:val="006B4187"/>
    <w:rsid w:val="006B51F0"/>
    <w:rsid w:val="006E39F7"/>
    <w:rsid w:val="006F1512"/>
    <w:rsid w:val="006F1B35"/>
    <w:rsid w:val="006F321A"/>
    <w:rsid w:val="00724F94"/>
    <w:rsid w:val="007335D8"/>
    <w:rsid w:val="00740CBD"/>
    <w:rsid w:val="00744EA5"/>
    <w:rsid w:val="00746086"/>
    <w:rsid w:val="00746187"/>
    <w:rsid w:val="00757884"/>
    <w:rsid w:val="00763256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7BA0"/>
    <w:rsid w:val="008B0AEC"/>
    <w:rsid w:val="008B0BF6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7AF2"/>
    <w:rsid w:val="00952092"/>
    <w:rsid w:val="00971F3F"/>
    <w:rsid w:val="00975E3B"/>
    <w:rsid w:val="0098169E"/>
    <w:rsid w:val="00997AF6"/>
    <w:rsid w:val="009B3032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71FAF"/>
    <w:rsid w:val="00A7411C"/>
    <w:rsid w:val="00A832BB"/>
    <w:rsid w:val="00A874E7"/>
    <w:rsid w:val="00A9513E"/>
    <w:rsid w:val="00A97261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7059A"/>
    <w:rsid w:val="00B8535E"/>
    <w:rsid w:val="00B859AB"/>
    <w:rsid w:val="00B920F3"/>
    <w:rsid w:val="00BB7875"/>
    <w:rsid w:val="00BD5619"/>
    <w:rsid w:val="00BD716E"/>
    <w:rsid w:val="00BD720E"/>
    <w:rsid w:val="00C01144"/>
    <w:rsid w:val="00C07757"/>
    <w:rsid w:val="00C118D8"/>
    <w:rsid w:val="00C3669A"/>
    <w:rsid w:val="00C4550F"/>
    <w:rsid w:val="00C46345"/>
    <w:rsid w:val="00C5188B"/>
    <w:rsid w:val="00C834AE"/>
    <w:rsid w:val="00CA5996"/>
    <w:rsid w:val="00CA5F1D"/>
    <w:rsid w:val="00CA62FE"/>
    <w:rsid w:val="00CC0F16"/>
    <w:rsid w:val="00CD4C8C"/>
    <w:rsid w:val="00CE0CCA"/>
    <w:rsid w:val="00D06EE1"/>
    <w:rsid w:val="00D2590B"/>
    <w:rsid w:val="00D37BED"/>
    <w:rsid w:val="00D40963"/>
    <w:rsid w:val="00D41B03"/>
    <w:rsid w:val="00D63EFF"/>
    <w:rsid w:val="00D76622"/>
    <w:rsid w:val="00D770C9"/>
    <w:rsid w:val="00D7735B"/>
    <w:rsid w:val="00D920AD"/>
    <w:rsid w:val="00D933C3"/>
    <w:rsid w:val="00D97832"/>
    <w:rsid w:val="00DA2999"/>
    <w:rsid w:val="00DA6E35"/>
    <w:rsid w:val="00DC1AF4"/>
    <w:rsid w:val="00DD31BB"/>
    <w:rsid w:val="00DD4A56"/>
    <w:rsid w:val="00DD52F7"/>
    <w:rsid w:val="00DF19F6"/>
    <w:rsid w:val="00DF3FCE"/>
    <w:rsid w:val="00DF674E"/>
    <w:rsid w:val="00E0659D"/>
    <w:rsid w:val="00E11A3D"/>
    <w:rsid w:val="00E11A4F"/>
    <w:rsid w:val="00E13DBD"/>
    <w:rsid w:val="00E24508"/>
    <w:rsid w:val="00E30F43"/>
    <w:rsid w:val="00E321ED"/>
    <w:rsid w:val="00E3419F"/>
    <w:rsid w:val="00E34262"/>
    <w:rsid w:val="00E54DD7"/>
    <w:rsid w:val="00E55114"/>
    <w:rsid w:val="00E66B17"/>
    <w:rsid w:val="00E7642C"/>
    <w:rsid w:val="00E820D3"/>
    <w:rsid w:val="00E84A23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C4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sting@healthewayinc.org" TargetMode="External"/><Relationship Id="rId10" Type="http://schemas.openxmlformats.org/officeDocument/2006/relationships/hyperlink" Target="http://ehealthexchange-acpworkgroup.wikispaces.com/file/detail/2014_08_01_APC_WG_External_Meeting_Audio_Recording.m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DED9-824C-B143-9DC9-F58BF97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John R</dc:creator>
  <cp:lastModifiedBy>Didi Davis</cp:lastModifiedBy>
  <cp:revision>4</cp:revision>
  <dcterms:created xsi:type="dcterms:W3CDTF">2014-08-01T15:50:00Z</dcterms:created>
  <dcterms:modified xsi:type="dcterms:W3CDTF">2014-08-07T19:41:00Z</dcterms:modified>
</cp:coreProperties>
</file>